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99914" w14:textId="77777777" w:rsidR="00EF45F1" w:rsidRDefault="00EF45F1">
      <w:pPr>
        <w:rPr>
          <w:sz w:val="20"/>
          <w:szCs w:val="20"/>
        </w:rPr>
      </w:pPr>
    </w:p>
    <w:p w14:paraId="522269D5" w14:textId="77777777" w:rsidR="001B196F" w:rsidRDefault="001B196F">
      <w:pPr>
        <w:rPr>
          <w:sz w:val="20"/>
          <w:szCs w:val="20"/>
        </w:rPr>
      </w:pPr>
    </w:p>
    <w:p w14:paraId="0D42FADB" w14:textId="77777777" w:rsidR="001B196F" w:rsidRDefault="001B196F">
      <w:pPr>
        <w:rPr>
          <w:sz w:val="20"/>
          <w:szCs w:val="20"/>
        </w:rPr>
      </w:pPr>
    </w:p>
    <w:p w14:paraId="5D9E5B4E" w14:textId="77777777" w:rsidR="004B614C" w:rsidRPr="00F514AC" w:rsidRDefault="004B614C" w:rsidP="004B614C">
      <w:pPr>
        <w:pStyle w:val="Akapitzlist"/>
        <w:spacing w:after="0" w:line="276" w:lineRule="auto"/>
        <w:rPr>
          <w:rFonts w:ascii="Arial" w:hAnsi="Arial" w:cs="Arial"/>
          <w:b/>
          <w:bCs/>
          <w:lang w:val="en-US"/>
        </w:rPr>
      </w:pPr>
      <w:bookmarkStart w:id="0" w:name="_Hlk141172474"/>
      <w:r>
        <w:rPr>
          <w:rFonts w:ascii="Arial" w:hAnsi="Arial" w:cs="Arial"/>
          <w:b/>
          <w:bCs/>
          <w:lang w:val="en-GB"/>
        </w:rPr>
        <w:t xml:space="preserve">Appendix No. </w:t>
      </w:r>
      <w:r>
        <w:rPr>
          <w:rFonts w:ascii="Arial" w:hAnsi="Arial" w:cs="Arial"/>
          <w:b/>
          <w:bCs/>
          <w:highlight w:val="yellow"/>
          <w:lang w:val="en-GB"/>
        </w:rPr>
        <w:t>__</w:t>
      </w:r>
      <w:r>
        <w:rPr>
          <w:rFonts w:ascii="Arial" w:hAnsi="Arial" w:cs="Arial"/>
          <w:b/>
          <w:bCs/>
          <w:lang w:val="en-GB"/>
        </w:rPr>
        <w:t xml:space="preserve">: Information on data protection for persons involved in the conclusion and performance of the agreement. </w:t>
      </w:r>
    </w:p>
    <w:p w14:paraId="1F219E92" w14:textId="77777777" w:rsidR="004B614C" w:rsidRPr="00F514AC" w:rsidRDefault="004B614C" w:rsidP="004B614C">
      <w:pPr>
        <w:tabs>
          <w:tab w:val="left" w:pos="7371"/>
        </w:tabs>
        <w:spacing w:after="0" w:line="276" w:lineRule="auto"/>
        <w:ind w:left="720" w:hanging="360"/>
        <w:contextualSpacing/>
        <w:jc w:val="center"/>
        <w:rPr>
          <w:rFonts w:eastAsia="Times New Roman" w:cstheme="minorHAnsi"/>
          <w:b/>
          <w:bCs/>
          <w:smallCaps/>
          <w:lang w:val="en-US"/>
        </w:rPr>
      </w:pPr>
    </w:p>
    <w:tbl>
      <w:tblPr>
        <w:tblStyle w:val="Tabela-Siatka"/>
        <w:tblW w:w="5033" w:type="pct"/>
        <w:tblInd w:w="0" w:type="dxa"/>
        <w:shd w:val="clear" w:color="auto" w:fill="F2F2F2" w:themeFill="background1" w:themeFillShade="F2"/>
        <w:tblCellMar>
          <w:top w:w="113" w:type="dxa"/>
          <w:bottom w:w="113" w:type="dxa"/>
        </w:tblCellMar>
        <w:tblLook w:val="04A0" w:firstRow="1" w:lastRow="0" w:firstColumn="1" w:lastColumn="0" w:noHBand="0" w:noVBand="1"/>
      </w:tblPr>
      <w:tblGrid>
        <w:gridCol w:w="9114"/>
      </w:tblGrid>
      <w:tr w:rsidR="004B614C" w:rsidRPr="00F514AC" w14:paraId="0073D6A1" w14:textId="77777777" w:rsidTr="00265681">
        <w:trPr>
          <w:trHeight w:val="1737"/>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D1BB5" w14:textId="77777777" w:rsidR="004B614C" w:rsidRPr="00F514AC" w:rsidRDefault="004B614C" w:rsidP="00265681">
            <w:pPr>
              <w:spacing w:line="276" w:lineRule="auto"/>
              <w:jc w:val="both"/>
              <w:rPr>
                <w:rFonts w:ascii="Arial" w:hAnsi="Arial" w:cs="Arial"/>
                <w:lang w:val="en-US"/>
              </w:rPr>
            </w:pPr>
            <w:r>
              <w:rPr>
                <w:rFonts w:ascii="Arial" w:hAnsi="Arial" w:cs="Arial"/>
                <w:lang w:val="en-GB"/>
              </w:rPr>
              <w:t>Pursuant to the provisions of Regulation (EU) 2016/679 of the European Parliament and of the Council of 27 April 2016 on the protection of natural persons with regard to the processing of personal data and on the free movement of such data, and repealing Directive 95/46/EC (hereinafter: “GDPR”), please be informed that:</w:t>
            </w:r>
          </w:p>
          <w:p w14:paraId="42ACD255" w14:textId="77777777" w:rsidR="004B614C" w:rsidRPr="00F514AC" w:rsidRDefault="004B614C" w:rsidP="004B614C">
            <w:pPr>
              <w:pStyle w:val="Akapitzlist"/>
              <w:numPr>
                <w:ilvl w:val="0"/>
                <w:numId w:val="3"/>
              </w:numPr>
              <w:spacing w:before="120" w:after="120" w:line="276" w:lineRule="auto"/>
              <w:jc w:val="both"/>
              <w:rPr>
                <w:rFonts w:ascii="Arial" w:hAnsi="Arial" w:cs="Arial"/>
                <w:lang w:val="en-US"/>
              </w:rPr>
            </w:pPr>
            <w:r>
              <w:rPr>
                <w:rFonts w:ascii="Arial" w:hAnsi="Arial" w:cs="Arial"/>
                <w:lang w:val="en-GB"/>
              </w:rPr>
              <w:t>The Data Controller with regard to your personal data is the Zachęta – National Gallery of Art with its registered office in Warsaw, plac Małachowskiego 3, 00-916 Warsaw, Poland, entered in the Cultural Institutions Register maintained by the Minister of Culture and National Heritage, under number RIK 34/92, Tax Identification Number [NIP] 526-025-12-10, Business Statistical Number [REGON] 000275949.</w:t>
            </w:r>
          </w:p>
          <w:p w14:paraId="7B0DF013" w14:textId="30216F3F" w:rsidR="004B614C" w:rsidRPr="00F514AC" w:rsidRDefault="004B614C" w:rsidP="004B614C">
            <w:pPr>
              <w:pStyle w:val="Akapitzlist"/>
              <w:numPr>
                <w:ilvl w:val="0"/>
                <w:numId w:val="3"/>
              </w:numPr>
              <w:spacing w:before="120" w:after="120" w:line="276" w:lineRule="auto"/>
              <w:jc w:val="both"/>
              <w:rPr>
                <w:rFonts w:ascii="Arial" w:hAnsi="Arial" w:cs="Arial"/>
                <w:lang w:val="en-US"/>
              </w:rPr>
            </w:pPr>
            <w:r>
              <w:rPr>
                <w:rFonts w:ascii="Arial" w:hAnsi="Arial" w:cs="Arial"/>
                <w:lang w:val="en-GB"/>
              </w:rPr>
              <w:t xml:space="preserve">You can contact the Data Controller by sending an email to the address: </w:t>
            </w:r>
            <w:hyperlink r:id="rId7" w:history="1">
              <w:r>
                <w:rPr>
                  <w:rFonts w:ascii="Arial" w:hAnsi="Arial" w:cs="Arial"/>
                  <w:lang w:val="en-GB"/>
                </w:rPr>
                <w:t>iodo@zacheta.art.pl</w:t>
              </w:r>
            </w:hyperlink>
            <w:r>
              <w:rPr>
                <w:rFonts w:ascii="Arial" w:hAnsi="Arial" w:cs="Arial"/>
                <w:lang w:val="en-GB"/>
              </w:rPr>
              <w:t xml:space="preserve"> or by writing to the Data Controller at the mailing address indicated in (1).</w:t>
            </w:r>
          </w:p>
          <w:p w14:paraId="60C00A01" w14:textId="77777777" w:rsidR="004B614C" w:rsidRPr="00F514AC" w:rsidRDefault="004B614C" w:rsidP="004B614C">
            <w:pPr>
              <w:pStyle w:val="Akapitzlist"/>
              <w:numPr>
                <w:ilvl w:val="0"/>
                <w:numId w:val="3"/>
              </w:numPr>
              <w:spacing w:before="120" w:after="120" w:line="276" w:lineRule="auto"/>
              <w:jc w:val="both"/>
              <w:rPr>
                <w:rFonts w:ascii="Arial" w:hAnsi="Arial" w:cs="Arial"/>
                <w:lang w:val="en-US"/>
              </w:rPr>
            </w:pPr>
            <w:r>
              <w:rPr>
                <w:rFonts w:ascii="Arial" w:hAnsi="Arial" w:cs="Arial"/>
                <w:lang w:val="en-GB"/>
              </w:rPr>
              <w:t xml:space="preserve">The Data Controller has appointed a Data Protection Officer, who can be contacted by sending an email to the address: </w:t>
            </w:r>
            <w:hyperlink r:id="rId8" w:history="1">
              <w:r>
                <w:rPr>
                  <w:rFonts w:ascii="Arial" w:hAnsi="Arial" w:cs="Arial"/>
                  <w:lang w:val="en-GB"/>
                </w:rPr>
                <w:t>iodo@zacheta.art.pl</w:t>
              </w:r>
            </w:hyperlink>
            <w:r>
              <w:rPr>
                <w:rFonts w:ascii="Arial" w:hAnsi="Arial" w:cs="Arial"/>
                <w:lang w:val="en-GB"/>
              </w:rPr>
              <w:t xml:space="preserve"> or by writing to the Data Controller at the mailing address indicated in (1), for the attention of the Data Protection Officer.</w:t>
            </w:r>
          </w:p>
          <w:p w14:paraId="424CA101" w14:textId="77777777" w:rsidR="004B614C" w:rsidRPr="00F514AC" w:rsidRDefault="004B614C" w:rsidP="004B614C">
            <w:pPr>
              <w:pStyle w:val="Akapitzlist"/>
              <w:numPr>
                <w:ilvl w:val="0"/>
                <w:numId w:val="3"/>
              </w:numPr>
              <w:spacing w:before="120" w:after="120" w:line="276" w:lineRule="auto"/>
              <w:jc w:val="both"/>
              <w:rPr>
                <w:rFonts w:ascii="Arial" w:hAnsi="Arial" w:cs="Arial"/>
                <w:lang w:val="en-US"/>
              </w:rPr>
            </w:pPr>
            <w:r>
              <w:rPr>
                <w:rFonts w:ascii="Arial" w:hAnsi="Arial" w:cs="Arial"/>
                <w:lang w:val="en-GB"/>
              </w:rPr>
              <w:t>The Data Controller processes the following categories of your personal data: first name, surname, contact details, title/role, and other personal data provided at the conclusion and during the performance of the Agreement.</w:t>
            </w:r>
          </w:p>
          <w:p w14:paraId="10C978A3" w14:textId="77777777" w:rsidR="004B614C" w:rsidRPr="00F514AC" w:rsidRDefault="004B614C" w:rsidP="004B614C">
            <w:pPr>
              <w:pStyle w:val="Akapitzlist"/>
              <w:numPr>
                <w:ilvl w:val="0"/>
                <w:numId w:val="3"/>
              </w:numPr>
              <w:spacing w:before="120" w:after="120" w:line="276" w:lineRule="auto"/>
              <w:jc w:val="both"/>
              <w:rPr>
                <w:rFonts w:ascii="Arial" w:hAnsi="Arial" w:cs="Arial"/>
                <w:lang w:val="en-US"/>
              </w:rPr>
            </w:pPr>
            <w:r>
              <w:rPr>
                <w:rFonts w:ascii="Arial" w:hAnsi="Arial" w:cs="Arial"/>
                <w:lang w:val="en-GB"/>
              </w:rPr>
              <w:t xml:space="preserve">The personal data referred to in (3) above originate from you personally or from the entity you represent (i.e. the business partner). </w:t>
            </w:r>
          </w:p>
          <w:p w14:paraId="1C25AD74" w14:textId="77777777" w:rsidR="004B614C" w:rsidRPr="00F514AC" w:rsidRDefault="004B614C" w:rsidP="004B614C">
            <w:pPr>
              <w:pStyle w:val="Akapitzlist"/>
              <w:numPr>
                <w:ilvl w:val="0"/>
                <w:numId w:val="3"/>
              </w:numPr>
              <w:spacing w:before="120" w:after="120" w:line="276" w:lineRule="auto"/>
              <w:jc w:val="both"/>
              <w:rPr>
                <w:rFonts w:ascii="Arial" w:hAnsi="Arial" w:cs="Arial"/>
                <w:lang w:val="en-US"/>
              </w:rPr>
            </w:pPr>
            <w:r>
              <w:rPr>
                <w:rFonts w:ascii="Arial" w:hAnsi="Arial" w:cs="Arial"/>
                <w:lang w:val="en-GB"/>
              </w:rPr>
              <w:t>Your personal data will be processed for the following purposes:</w:t>
            </w:r>
          </w:p>
          <w:p w14:paraId="6C7C035E" w14:textId="0DB58155" w:rsidR="0057361D" w:rsidRPr="00F514AC" w:rsidRDefault="004B614C" w:rsidP="0057361D">
            <w:pPr>
              <w:pStyle w:val="Akapitzlist"/>
              <w:numPr>
                <w:ilvl w:val="0"/>
                <w:numId w:val="4"/>
              </w:numPr>
              <w:spacing w:before="120" w:after="120" w:line="276" w:lineRule="auto"/>
              <w:jc w:val="both"/>
              <w:rPr>
                <w:rFonts w:ascii="Arial" w:hAnsi="Arial" w:cs="Arial"/>
                <w:lang w:val="en-US"/>
              </w:rPr>
            </w:pPr>
            <w:r>
              <w:rPr>
                <w:rFonts w:ascii="Arial" w:hAnsi="Arial" w:cs="Arial"/>
                <w:lang w:val="en-GB"/>
              </w:rPr>
              <w:t>concluding and properly performing the Agreement – the legal basis for data processing in this respect is the Data Controller’s legitimate interest (Article (6)(1)(f) of the GDPR), which consists in concluding, performing and settling the Agreement, and includes maintaining contact in relation to the performance and execution of the provisions of the Agreement</w:t>
            </w:r>
            <w:r w:rsidR="00F514AC">
              <w:rPr>
                <w:rFonts w:ascii="Arial" w:hAnsi="Arial" w:cs="Arial"/>
                <w:lang w:val="en-GB"/>
              </w:rPr>
              <w:t>,</w:t>
            </w:r>
            <w:r>
              <w:rPr>
                <w:rFonts w:ascii="Arial" w:hAnsi="Arial" w:cs="Arial"/>
                <w:lang w:val="en-GB"/>
              </w:rPr>
              <w:t xml:space="preserve"> and properly identifying persons authorised to represent the business partner and assume obligations on its behalf;</w:t>
            </w:r>
          </w:p>
          <w:p w14:paraId="6C9A313F" w14:textId="7FFBD9E9" w:rsidR="0057361D" w:rsidRPr="00F514AC" w:rsidRDefault="00281A06" w:rsidP="0019112B">
            <w:pPr>
              <w:pStyle w:val="Akapitzlist"/>
              <w:numPr>
                <w:ilvl w:val="0"/>
                <w:numId w:val="4"/>
              </w:numPr>
              <w:spacing w:before="120" w:after="120" w:line="276" w:lineRule="auto"/>
              <w:jc w:val="both"/>
              <w:rPr>
                <w:rFonts w:ascii="Arial" w:hAnsi="Arial" w:cs="Arial"/>
                <w:lang w:val="en-US"/>
              </w:rPr>
            </w:pPr>
            <w:r>
              <w:rPr>
                <w:rFonts w:ascii="Arial" w:hAnsi="Arial" w:cs="Arial"/>
                <w:lang w:val="en-GB"/>
              </w:rPr>
              <w:t xml:space="preserve">implementing, monitoring, auditing and evaluating the Investment in relation to the implementation of an </w:t>
            </w:r>
            <w:r w:rsidR="00F514AC">
              <w:rPr>
                <w:rFonts w:ascii="Arial" w:hAnsi="Arial" w:cs="Arial"/>
                <w:lang w:val="en-GB"/>
              </w:rPr>
              <w:t>initiative</w:t>
            </w:r>
            <w:r>
              <w:rPr>
                <w:rFonts w:ascii="Arial" w:hAnsi="Arial" w:cs="Arial"/>
                <w:lang w:val="en-GB"/>
              </w:rPr>
              <w:t xml:space="preserve"> covered by a grant from the National Recovery and Resilience Plan in connection with Articles 14lzj to 14lzn of the Act of 6 December 2006 on the principles of development policy</w:t>
            </w:r>
          </w:p>
          <w:p w14:paraId="726020B7" w14:textId="77777777" w:rsidR="0057361D" w:rsidRPr="00F514AC" w:rsidRDefault="0057361D" w:rsidP="0057361D">
            <w:pPr>
              <w:pStyle w:val="Akapitzlist"/>
              <w:spacing w:before="120" w:after="120" w:line="276" w:lineRule="auto"/>
              <w:ind w:left="1080"/>
              <w:jc w:val="both"/>
              <w:rPr>
                <w:rFonts w:ascii="Arial" w:hAnsi="Arial" w:cs="Arial"/>
                <w:lang w:val="en-US"/>
              </w:rPr>
            </w:pPr>
            <w:r>
              <w:rPr>
                <w:rFonts w:ascii="Arial" w:hAnsi="Arial" w:cs="Arial"/>
                <w:lang w:val="en-GB"/>
              </w:rPr>
              <w:t xml:space="preserve">and pursuant to Article 25a of Regulation 2021/241 – the legal basis for processing in this respect is the Data Controller’s legal obligation (Article 6(1)(c) of the GDPR); </w:t>
            </w:r>
          </w:p>
          <w:p w14:paraId="6CD3FCCC" w14:textId="05544847" w:rsidR="004B614C" w:rsidRPr="00F514AC" w:rsidRDefault="004B614C" w:rsidP="0019112B">
            <w:pPr>
              <w:pStyle w:val="Akapitzlist"/>
              <w:numPr>
                <w:ilvl w:val="0"/>
                <w:numId w:val="4"/>
              </w:numPr>
              <w:spacing w:before="120" w:after="120" w:line="276" w:lineRule="auto"/>
              <w:jc w:val="both"/>
              <w:rPr>
                <w:rFonts w:ascii="Arial" w:hAnsi="Arial" w:cs="Arial"/>
                <w:lang w:val="en-US"/>
              </w:rPr>
            </w:pPr>
            <w:r>
              <w:rPr>
                <w:rFonts w:ascii="Arial" w:hAnsi="Arial" w:cs="Arial"/>
                <w:lang w:val="en-GB"/>
              </w:rPr>
              <w:lastRenderedPageBreak/>
              <w:t>for the Data Controller to fulfil its legal obligation, in connection with the obligation to maintain accounting books and tax settlements, for persons whose data are included in the documents covered by the obligation to maintain and store them pursuant to fiscal and accounting laws – the legal basis for processing</w:t>
            </w:r>
            <w:r w:rsidR="00F514AC">
              <w:rPr>
                <w:rFonts w:ascii="Arial" w:hAnsi="Arial" w:cs="Arial"/>
                <w:lang w:val="en-GB"/>
              </w:rPr>
              <w:t xml:space="preserve"> in this respect</w:t>
            </w:r>
            <w:r>
              <w:rPr>
                <w:rFonts w:ascii="Arial" w:hAnsi="Arial" w:cs="Arial"/>
                <w:lang w:val="en-GB"/>
              </w:rPr>
              <w:t xml:space="preserve"> is the Data Controller’s legal obligation (Article 6(1)(c) of the GDPR); </w:t>
            </w:r>
          </w:p>
          <w:p w14:paraId="1B9602BE" w14:textId="30F95AA1" w:rsidR="004B614C" w:rsidRPr="00F514AC" w:rsidRDefault="004B614C" w:rsidP="0019112B">
            <w:pPr>
              <w:pStyle w:val="Akapitzlist"/>
              <w:numPr>
                <w:ilvl w:val="0"/>
                <w:numId w:val="4"/>
              </w:numPr>
              <w:spacing w:before="120" w:after="120" w:line="276" w:lineRule="auto"/>
              <w:jc w:val="both"/>
              <w:rPr>
                <w:rFonts w:ascii="Arial" w:hAnsi="Arial" w:cs="Arial"/>
                <w:lang w:val="en-US"/>
              </w:rPr>
            </w:pPr>
            <w:r>
              <w:rPr>
                <w:rFonts w:ascii="Arial" w:hAnsi="Arial" w:cs="Arial"/>
                <w:lang w:val="en-GB"/>
              </w:rPr>
              <w:t>establishing or pursuing any claims or defen</w:t>
            </w:r>
            <w:r w:rsidR="00F514AC">
              <w:rPr>
                <w:rFonts w:ascii="Arial" w:hAnsi="Arial" w:cs="Arial"/>
                <w:lang w:val="en-GB"/>
              </w:rPr>
              <w:t>ding</w:t>
            </w:r>
            <w:r>
              <w:rPr>
                <w:rFonts w:ascii="Arial" w:hAnsi="Arial" w:cs="Arial"/>
                <w:lang w:val="en-GB"/>
              </w:rPr>
              <w:t xml:space="preserve"> against </w:t>
            </w:r>
            <w:r w:rsidR="00F514AC">
              <w:rPr>
                <w:rFonts w:ascii="Arial" w:hAnsi="Arial" w:cs="Arial"/>
                <w:lang w:val="en-GB"/>
              </w:rPr>
              <w:t>any</w:t>
            </w:r>
            <w:r>
              <w:rPr>
                <w:rFonts w:ascii="Arial" w:hAnsi="Arial" w:cs="Arial"/>
                <w:lang w:val="en-GB"/>
              </w:rPr>
              <w:t xml:space="preserve"> claims raised against the Data Controller – the legal basis for data processing </w:t>
            </w:r>
            <w:r w:rsidR="00F514AC">
              <w:rPr>
                <w:rFonts w:ascii="Arial" w:hAnsi="Arial" w:cs="Arial"/>
                <w:lang w:val="en-GB"/>
              </w:rPr>
              <w:t xml:space="preserve">in this respect </w:t>
            </w:r>
            <w:r>
              <w:rPr>
                <w:rFonts w:ascii="Arial" w:hAnsi="Arial" w:cs="Arial"/>
                <w:lang w:val="en-GB"/>
              </w:rPr>
              <w:t>is the Data Controller’s legitimate interest (Article 6(1)(f) of the GDPR), which consists in defending its economic interests.</w:t>
            </w:r>
          </w:p>
          <w:p w14:paraId="64F3E466" w14:textId="77777777" w:rsidR="004B614C" w:rsidRPr="00F514AC" w:rsidRDefault="004B614C" w:rsidP="004B614C">
            <w:pPr>
              <w:pStyle w:val="Akapitzlist"/>
              <w:numPr>
                <w:ilvl w:val="0"/>
                <w:numId w:val="3"/>
              </w:numPr>
              <w:spacing w:before="120" w:after="120" w:line="276" w:lineRule="auto"/>
              <w:jc w:val="both"/>
              <w:rPr>
                <w:rFonts w:ascii="Arial" w:hAnsi="Arial" w:cs="Arial"/>
                <w:lang w:val="en-US"/>
              </w:rPr>
            </w:pPr>
            <w:r>
              <w:rPr>
                <w:rFonts w:ascii="Arial" w:hAnsi="Arial" w:cs="Arial"/>
                <w:lang w:val="en-GB"/>
              </w:rPr>
              <w:t>Your personal data will be processed for the time necessary to pursue the purposes of processing, and to the extent that your personal data are processed based on the Data Controller’s legitimate interest – until you object effectively to the processing of your personal data. The duration of personal data processing may be extended each time until the end of the period of limitation for any claims if the processing of personal data is necessary for the Data Controller to pursue such claims or defend against them. After that period, the data will only be processed to the extent and for the duration required by law.</w:t>
            </w:r>
          </w:p>
          <w:p w14:paraId="7B8E11CA" w14:textId="4F84C593" w:rsidR="004B614C" w:rsidRPr="00F514AC" w:rsidRDefault="004B614C" w:rsidP="0057361D">
            <w:pPr>
              <w:pStyle w:val="Akapitzlist"/>
              <w:numPr>
                <w:ilvl w:val="0"/>
                <w:numId w:val="3"/>
              </w:numPr>
              <w:spacing w:before="120" w:after="120" w:line="276" w:lineRule="auto"/>
              <w:jc w:val="both"/>
              <w:rPr>
                <w:rFonts w:ascii="Arial" w:hAnsi="Arial" w:cs="Arial"/>
                <w:lang w:val="en-US"/>
              </w:rPr>
            </w:pPr>
            <w:r>
              <w:rPr>
                <w:rFonts w:ascii="Arial" w:hAnsi="Arial" w:cs="Arial"/>
                <w:lang w:val="en-GB"/>
              </w:rPr>
              <w:t>Your personal data may be transferred to entities that provide services to the Data Controller pursuant to concluded agreements; this includes providers of IT systems and services, providers of legal services, accounting and shipment vendors, or institutions authorised to receive personal data pursuant to the provisions of law, including the Institution responsible for the implementation of the Investment, i.e. the minister competent for culture and national heritage, which has been charged with implementing the Investment pursuant to the agreement concluded with the Coordinating Institution, i.e. the minister competent for regional development, as well as the Supporting Unit, i.e. the National Institute of Music and Dance in Warsaw, owing to the fact that the investment in which you or your employer are involved is covered by support from the National Recovery and Resilience Plan</w:t>
            </w:r>
            <w:r w:rsidR="00F514AC">
              <w:rPr>
                <w:rFonts w:ascii="Arial" w:hAnsi="Arial" w:cs="Arial"/>
                <w:lang w:val="en-GB"/>
              </w:rPr>
              <w:t>.</w:t>
            </w:r>
          </w:p>
          <w:p w14:paraId="144D7270" w14:textId="79B01958" w:rsidR="004B614C" w:rsidRPr="00F514AC" w:rsidRDefault="00F514AC" w:rsidP="004B614C">
            <w:pPr>
              <w:pStyle w:val="Akapitzlist"/>
              <w:numPr>
                <w:ilvl w:val="0"/>
                <w:numId w:val="3"/>
              </w:numPr>
              <w:spacing w:before="120" w:after="120" w:line="276" w:lineRule="auto"/>
              <w:jc w:val="both"/>
              <w:rPr>
                <w:rFonts w:ascii="Arial" w:hAnsi="Arial" w:cs="Arial"/>
                <w:lang w:val="en-US"/>
              </w:rPr>
            </w:pPr>
            <w:r>
              <w:rPr>
                <w:rFonts w:ascii="Arial" w:hAnsi="Arial" w:cs="Arial"/>
                <w:lang w:val="en-GB"/>
              </w:rPr>
              <w:t>Y</w:t>
            </w:r>
            <w:r w:rsidR="004B614C">
              <w:rPr>
                <w:rFonts w:ascii="Arial" w:hAnsi="Arial" w:cs="Arial"/>
                <w:lang w:val="en-GB"/>
              </w:rPr>
              <w:t xml:space="preserve">our personal data will not be transferred to entities related to the Data Controller outside of the European Union or the European Economic Area. </w:t>
            </w:r>
          </w:p>
          <w:p w14:paraId="7A2BF67F" w14:textId="73C94C10" w:rsidR="004B614C" w:rsidRPr="00F514AC" w:rsidRDefault="004B614C" w:rsidP="004B614C">
            <w:pPr>
              <w:pStyle w:val="Akapitzlist"/>
              <w:numPr>
                <w:ilvl w:val="0"/>
                <w:numId w:val="3"/>
              </w:numPr>
              <w:spacing w:before="120" w:after="120" w:line="276" w:lineRule="auto"/>
              <w:jc w:val="both"/>
              <w:rPr>
                <w:rFonts w:ascii="Arial" w:hAnsi="Arial" w:cs="Arial"/>
                <w:lang w:val="en-US"/>
              </w:rPr>
            </w:pPr>
            <w:r>
              <w:rPr>
                <w:rFonts w:ascii="Arial" w:hAnsi="Arial" w:cs="Arial"/>
                <w:lang w:val="en-GB"/>
              </w:rPr>
              <w:t>You have the right to access your data, obtain a copy thereof, have your data corrected, deleted, have their processing restricted, and the right to object to their processing. For evidence purposes, the Data Controller asks that you file the objection in writing or by email.</w:t>
            </w:r>
          </w:p>
          <w:p w14:paraId="039C4EBE" w14:textId="77777777" w:rsidR="004B614C" w:rsidRPr="00F514AC" w:rsidRDefault="004B614C" w:rsidP="004B614C">
            <w:pPr>
              <w:pStyle w:val="Akapitzlist"/>
              <w:numPr>
                <w:ilvl w:val="0"/>
                <w:numId w:val="3"/>
              </w:numPr>
              <w:spacing w:before="120" w:after="120" w:line="276" w:lineRule="auto"/>
              <w:jc w:val="both"/>
              <w:rPr>
                <w:rFonts w:ascii="Arial" w:hAnsi="Arial" w:cs="Arial"/>
                <w:lang w:val="en-US"/>
              </w:rPr>
            </w:pPr>
            <w:r>
              <w:rPr>
                <w:rFonts w:ascii="Arial" w:hAnsi="Arial" w:cs="Arial"/>
                <w:lang w:val="en-GB"/>
              </w:rPr>
              <w:t xml:space="preserve">If you deem that your personal data are processed in contravention of the provisions of the GDPR or other laws that govern the processing and protection of personal data, you may lodge a complaint with the supervisory authority. </w:t>
            </w:r>
          </w:p>
          <w:p w14:paraId="1E857204" w14:textId="77777777" w:rsidR="004B614C" w:rsidRPr="00F514AC" w:rsidRDefault="004B614C" w:rsidP="004B614C">
            <w:pPr>
              <w:pStyle w:val="Akapitzlist"/>
              <w:numPr>
                <w:ilvl w:val="0"/>
                <w:numId w:val="3"/>
              </w:numPr>
              <w:spacing w:before="120" w:after="120" w:line="276" w:lineRule="auto"/>
              <w:jc w:val="both"/>
              <w:rPr>
                <w:rFonts w:ascii="Arial" w:hAnsi="Arial" w:cs="Arial"/>
                <w:sz w:val="20"/>
                <w:szCs w:val="20"/>
                <w:lang w:val="en-US"/>
              </w:rPr>
            </w:pPr>
            <w:r>
              <w:rPr>
                <w:rFonts w:ascii="Arial" w:hAnsi="Arial" w:cs="Arial"/>
                <w:lang w:val="en-GB"/>
              </w:rPr>
              <w:t>The data you provide will not be subject to profiling.</w:t>
            </w:r>
            <w:r>
              <w:rPr>
                <w:rFonts w:ascii="Arial" w:hAnsi="Arial" w:cs="Arial"/>
                <w:sz w:val="20"/>
                <w:szCs w:val="20"/>
                <w:lang w:val="en-GB"/>
              </w:rPr>
              <w:t xml:space="preserve"> </w:t>
            </w:r>
          </w:p>
        </w:tc>
      </w:tr>
      <w:bookmarkEnd w:id="0"/>
    </w:tbl>
    <w:p w14:paraId="76FD836D" w14:textId="77777777" w:rsidR="001B196F" w:rsidRPr="00F514AC" w:rsidRDefault="001B196F">
      <w:pPr>
        <w:rPr>
          <w:sz w:val="20"/>
          <w:szCs w:val="20"/>
          <w:lang w:val="en-US"/>
        </w:rPr>
      </w:pPr>
    </w:p>
    <w:p w14:paraId="76A7DB7D" w14:textId="77777777" w:rsidR="00EF45F1" w:rsidRDefault="0026351C">
      <w:pPr>
        <w:pStyle w:val="Style3"/>
        <w:spacing w:before="34" w:line="266" w:lineRule="exact"/>
        <w:ind w:left="720"/>
      </w:pPr>
      <w:r>
        <w:rPr>
          <w:sz w:val="20"/>
          <w:szCs w:val="20"/>
          <w:lang w:val="en-GB"/>
        </w:rPr>
        <w:t xml:space="preserve"> </w:t>
      </w:r>
    </w:p>
    <w:sectPr w:rsidR="00EF45F1" w:rsidSect="00E001DD">
      <w:headerReference w:type="default" r:id="rId9"/>
      <w:footerReference w:type="default" r:id="rId10"/>
      <w:pgSz w:w="11900" w:h="16840"/>
      <w:pgMar w:top="1418"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FC84B" w14:textId="77777777" w:rsidR="0023558B" w:rsidRDefault="0023558B">
      <w:pPr>
        <w:spacing w:after="0" w:line="240" w:lineRule="auto"/>
      </w:pPr>
      <w:r>
        <w:separator/>
      </w:r>
    </w:p>
  </w:endnote>
  <w:endnote w:type="continuationSeparator" w:id="0">
    <w:p w14:paraId="2011D90A" w14:textId="77777777" w:rsidR="0023558B" w:rsidRDefault="00235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EFE9" w14:textId="77777777" w:rsidR="00B35F7A" w:rsidRDefault="00010838" w:rsidP="00E001DD">
    <w:pPr>
      <w:pStyle w:val="Stopka"/>
    </w:pPr>
    <w:r>
      <w:rPr>
        <w:noProof/>
        <w:lang w:val="en-GB"/>
      </w:rPr>
      <w:drawing>
        <wp:inline distT="0" distB="0" distL="0" distR="0" wp14:anchorId="73DD75BC" wp14:editId="11FA93F4">
          <wp:extent cx="5754835" cy="728980"/>
          <wp:effectExtent l="0" t="0" r="0" b="0"/>
          <wp:docPr id="1379983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391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54835" cy="7289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A2972" w14:textId="77777777" w:rsidR="0023558B" w:rsidRDefault="0023558B">
      <w:pPr>
        <w:spacing w:after="0" w:line="240" w:lineRule="auto"/>
      </w:pPr>
      <w:r>
        <w:separator/>
      </w:r>
    </w:p>
  </w:footnote>
  <w:footnote w:type="continuationSeparator" w:id="0">
    <w:p w14:paraId="3E4E0F7F" w14:textId="77777777" w:rsidR="0023558B" w:rsidRDefault="00235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DB6B" w14:textId="77777777" w:rsidR="00EF45F1" w:rsidRDefault="0026351C">
    <w:pPr>
      <w:pStyle w:val="Nagwek"/>
      <w:tabs>
        <w:tab w:val="clear" w:pos="9072"/>
        <w:tab w:val="right" w:pos="9046"/>
      </w:tabs>
    </w:pPr>
    <w:r>
      <w:rPr>
        <w:noProof/>
        <w:lang w:val="en-GB"/>
      </w:rPr>
      <w:drawing>
        <wp:inline distT="0" distB="0" distL="0" distR="0" wp14:anchorId="21FF048D" wp14:editId="4F5E688B">
          <wp:extent cx="5760721" cy="729725"/>
          <wp:effectExtent l="0" t="0" r="5080" b="0"/>
          <wp:docPr id="2" name="officeArt object"/>
          <wp:cNvGraphicFramePr/>
          <a:graphic xmlns:a="http://schemas.openxmlformats.org/drawingml/2006/main">
            <a:graphicData uri="http://schemas.openxmlformats.org/drawingml/2006/picture">
              <pic:pic xmlns:pic="http://schemas.openxmlformats.org/drawingml/2006/picture">
                <pic:nvPicPr>
                  <pic:cNvPr id="2"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721" cy="72972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205E4"/>
    <w:multiLevelType w:val="hybridMultilevel"/>
    <w:tmpl w:val="9D8EF87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15:restartNumberingAfterBreak="0">
    <w:nsid w:val="30A273C4"/>
    <w:multiLevelType w:val="multilevel"/>
    <w:tmpl w:val="E0469642"/>
    <w:numStyleLink w:val="Zaimportowanystyl1"/>
  </w:abstractNum>
  <w:abstractNum w:abstractNumId="2" w15:restartNumberingAfterBreak="0">
    <w:nsid w:val="407A37E4"/>
    <w:multiLevelType w:val="hybridMultilevel"/>
    <w:tmpl w:val="80384A72"/>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61385C02"/>
    <w:multiLevelType w:val="multilevel"/>
    <w:tmpl w:val="E0469642"/>
    <w:styleLink w:val="Zaimportowanystyl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68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3F6662B"/>
    <w:multiLevelType w:val="hybridMultilevel"/>
    <w:tmpl w:val="C68C70F6"/>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4250676">
    <w:abstractNumId w:val="3"/>
  </w:num>
  <w:num w:numId="2" w16cid:durableId="1761676840">
    <w:abstractNumId w:val="1"/>
  </w:num>
  <w:num w:numId="3" w16cid:durableId="1240886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1807867">
    <w:abstractNumId w:val="2"/>
  </w:num>
  <w:num w:numId="5" w16cid:durableId="903177517">
    <w:abstractNumId w:val="2"/>
  </w:num>
  <w:num w:numId="6" w16cid:durableId="405961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5F1"/>
    <w:rsid w:val="00010838"/>
    <w:rsid w:val="000423CA"/>
    <w:rsid w:val="000E3E01"/>
    <w:rsid w:val="000E4289"/>
    <w:rsid w:val="00175F12"/>
    <w:rsid w:val="0019112B"/>
    <w:rsid w:val="001B196F"/>
    <w:rsid w:val="0023558B"/>
    <w:rsid w:val="0026351C"/>
    <w:rsid w:val="00281A06"/>
    <w:rsid w:val="003122A8"/>
    <w:rsid w:val="003F1B3B"/>
    <w:rsid w:val="004B614C"/>
    <w:rsid w:val="004C3AB4"/>
    <w:rsid w:val="00510AED"/>
    <w:rsid w:val="005305E2"/>
    <w:rsid w:val="005451C1"/>
    <w:rsid w:val="0057361D"/>
    <w:rsid w:val="005B7367"/>
    <w:rsid w:val="00662CFD"/>
    <w:rsid w:val="006B0E14"/>
    <w:rsid w:val="006E6075"/>
    <w:rsid w:val="00774D5C"/>
    <w:rsid w:val="007A6B3B"/>
    <w:rsid w:val="007B1140"/>
    <w:rsid w:val="007E1678"/>
    <w:rsid w:val="009952A0"/>
    <w:rsid w:val="00A33AA3"/>
    <w:rsid w:val="00AB6BC4"/>
    <w:rsid w:val="00AF3E8C"/>
    <w:rsid w:val="00B35F7A"/>
    <w:rsid w:val="00B72635"/>
    <w:rsid w:val="00BF3C43"/>
    <w:rsid w:val="00C1200D"/>
    <w:rsid w:val="00C975E5"/>
    <w:rsid w:val="00E001DD"/>
    <w:rsid w:val="00EF45F1"/>
    <w:rsid w:val="00F514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8F967"/>
  <w15:docId w15:val="{0CA35BEB-71B1-4664-A993-81204B1B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pacing w:after="160" w:line="259" w:lineRule="auto"/>
    </w:pPr>
    <w:rPr>
      <w:rFonts w:ascii="Calibri" w:hAnsi="Calibri" w:cs="Arial Unicode MS"/>
      <w:color w:val="000000"/>
      <w:sz w:val="22"/>
      <w:szCs w:val="22"/>
      <w:u w:color="000000"/>
    </w:rPr>
  </w:style>
  <w:style w:type="paragraph" w:styleId="Nagwek2">
    <w:name w:val="heading 2"/>
    <w:basedOn w:val="Normalny"/>
    <w:link w:val="Nagwek2Znak"/>
    <w:uiPriority w:val="9"/>
    <w:qFormat/>
    <w:rsid w:val="005736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1"/>
    </w:pPr>
    <w:rPr>
      <w:rFonts w:ascii="Times New Roman" w:eastAsia="Times New Roman" w:hAnsi="Times New Roman" w:cs="Times New Roman"/>
      <w:b/>
      <w:bCs/>
      <w:color w:val="auto"/>
      <w:sz w:val="36"/>
      <w:szCs w:val="36"/>
      <w:bdr w:val="none" w:sz="0" w:space="0" w:color="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Nagwek">
    <w:name w:val="header"/>
    <w:pPr>
      <w:tabs>
        <w:tab w:val="center" w:pos="4536"/>
        <w:tab w:val="right" w:pos="9072"/>
      </w:tabs>
    </w:pPr>
    <w:rPr>
      <w:rFonts w:ascii="Calibri" w:hAnsi="Calibri" w:cs="Arial Unicode MS"/>
      <w:color w:val="000000"/>
      <w:sz w:val="22"/>
      <w:szCs w:val="22"/>
      <w:u w:color="000000"/>
    </w:r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FontStyle11">
    <w:name w:val="Font Style11"/>
    <w:rPr>
      <w:rFonts w:ascii="Calibri" w:hAnsi="Calibri"/>
      <w:sz w:val="20"/>
      <w:szCs w:val="20"/>
    </w:rPr>
  </w:style>
  <w:style w:type="paragraph" w:customStyle="1" w:styleId="Style3">
    <w:name w:val="Style3"/>
    <w:pPr>
      <w:widowControl w:val="0"/>
      <w:spacing w:line="268" w:lineRule="exact"/>
    </w:pPr>
    <w:rPr>
      <w:rFonts w:ascii="Calibri" w:hAnsi="Calibri" w:cs="Arial Unicode MS"/>
      <w:color w:val="000000"/>
      <w:sz w:val="24"/>
      <w:szCs w:val="24"/>
      <w:u w:color="000000"/>
      <w:lang w:val="nl-NL"/>
    </w:rPr>
  </w:style>
  <w:style w:type="numbering" w:customStyle="1" w:styleId="Zaimportowanystyl1">
    <w:name w:val="Zaimportowany styl 1"/>
    <w:pPr>
      <w:numPr>
        <w:numId w:val="1"/>
      </w:numPr>
    </w:pPr>
  </w:style>
  <w:style w:type="paragraph" w:styleId="Stopka">
    <w:name w:val="footer"/>
    <w:basedOn w:val="Normalny"/>
    <w:link w:val="StopkaZnak"/>
    <w:uiPriority w:val="99"/>
    <w:unhideWhenUsed/>
    <w:rsid w:val="00774D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4D5C"/>
    <w:rPr>
      <w:rFonts w:ascii="Calibri" w:hAnsi="Calibri" w:cs="Arial Unicode MS"/>
      <w:color w:val="000000"/>
      <w:sz w:val="22"/>
      <w:szCs w:val="22"/>
      <w:u w:color="000000"/>
    </w:rPr>
  </w:style>
  <w:style w:type="paragraph" w:styleId="Akapitzlist">
    <w:name w:val="List Paragraph"/>
    <w:basedOn w:val="Normalny"/>
    <w:uiPriority w:val="34"/>
    <w:qFormat/>
    <w:rsid w:val="004B614C"/>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720"/>
      <w:contextualSpacing/>
    </w:pPr>
    <w:rPr>
      <w:rFonts w:asciiTheme="minorHAnsi" w:eastAsiaTheme="minorHAnsi" w:hAnsiTheme="minorHAnsi" w:cstheme="minorBidi"/>
      <w:color w:val="auto"/>
      <w:bdr w:val="none" w:sz="0" w:space="0" w:color="auto"/>
      <w:lang w:eastAsia="en-US"/>
    </w:rPr>
  </w:style>
  <w:style w:type="table" w:styleId="Tabela-Siatka">
    <w:name w:val="Table Grid"/>
    <w:basedOn w:val="Standardowy"/>
    <w:uiPriority w:val="39"/>
    <w:rsid w:val="004B614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57361D"/>
    <w:rPr>
      <w:rFonts w:eastAsia="Times New Roman"/>
      <w:b/>
      <w:bCs/>
      <w:sz w:val="36"/>
      <w:szCs w:val="36"/>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172925">
      <w:bodyDiv w:val="1"/>
      <w:marLeft w:val="0"/>
      <w:marRight w:val="0"/>
      <w:marTop w:val="0"/>
      <w:marBottom w:val="0"/>
      <w:divBdr>
        <w:top w:val="none" w:sz="0" w:space="0" w:color="auto"/>
        <w:left w:val="none" w:sz="0" w:space="0" w:color="auto"/>
        <w:bottom w:val="none" w:sz="0" w:space="0" w:color="auto"/>
        <w:right w:val="none" w:sz="0" w:space="0" w:color="auto"/>
      </w:divBdr>
    </w:div>
    <w:div w:id="2108966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zacheta.art.pl" TargetMode="External"/><Relationship Id="rId3" Type="http://schemas.openxmlformats.org/officeDocument/2006/relationships/settings" Target="settings.xml"/><Relationship Id="rId7" Type="http://schemas.openxmlformats.org/officeDocument/2006/relationships/hyperlink" Target="mailto:iodo@zacheta.art.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2</Pages>
  <Words>810</Words>
  <Characters>4861</Characters>
  <Application>Microsoft Office Word</Application>
  <DocSecurity>0</DocSecurity>
  <Lines>40</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Zachęta - Narodowa Galeria Sztuki w Warszawie</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Zofia Koźniewska</dc:creator>
  <cp:lastModifiedBy>--</cp:lastModifiedBy>
  <cp:revision>4</cp:revision>
  <cp:lastPrinted>2020-06-23T09:22:00Z</cp:lastPrinted>
  <dcterms:created xsi:type="dcterms:W3CDTF">2024-09-23T14:55:00Z</dcterms:created>
  <dcterms:modified xsi:type="dcterms:W3CDTF">2025-11-24T16:35:00Z</dcterms:modified>
</cp:coreProperties>
</file>